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贵州大学办学质量评价项目单一来源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为帮助学校全面定位诊断“一流大学”、“一流学科”的建设成效和发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展现状，根据工作安排，由对外合作处负责采购相关服务，用于开展贵州大学办学质量和学科建设评价等数据分析，帮助学校未来发展的战略制定和政策实施提供参考。现将采购需求汇报如下：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办学质量评价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从学校层面和学科层面等两个维度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对学校的办学质量和办学水平进行评价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所选分析指标要与国家“双一流”建设评测标准和教育部学科评估体系吻合；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2.报告内容涵盖办学情况、思政教育、人才培养、师资队伍、科学研究、社会服务、学科建设、国际交流合作和社会影响等九大模块，涉及500多项核心办学指标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3.全面监控学校“双一流”建设成效，及时了解学校建设各项指标的指标数据和在全国的排名情况，并提供标杆高校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及相关学科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对比分析。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kern w:val="2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28"/>
          <w:sz w:val="32"/>
          <w:szCs w:val="32"/>
          <w:lang w:val="en-US" w:eastAsia="zh-CN"/>
        </w:rPr>
        <w:t xml:space="preserve">                            对外合作处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2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28"/>
          <w:sz w:val="32"/>
          <w:szCs w:val="32"/>
          <w:lang w:val="en-US" w:eastAsia="zh-CN"/>
        </w:rPr>
        <w:t xml:space="preserve">                             2024年5月6日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2UyYzVmY2Q2NmQ4Mjc4MjI4Yzk4ZWY0OTZlMmIifQ=="/>
  </w:docVars>
  <w:rsids>
    <w:rsidRoot w:val="204F3D4F"/>
    <w:rsid w:val="02B524D4"/>
    <w:rsid w:val="07AA03DF"/>
    <w:rsid w:val="123453F0"/>
    <w:rsid w:val="12970862"/>
    <w:rsid w:val="1A770CA0"/>
    <w:rsid w:val="1B600F7E"/>
    <w:rsid w:val="204F3D4F"/>
    <w:rsid w:val="20880DD0"/>
    <w:rsid w:val="209D43AF"/>
    <w:rsid w:val="20B10327"/>
    <w:rsid w:val="26054063"/>
    <w:rsid w:val="31C91787"/>
    <w:rsid w:val="399D7242"/>
    <w:rsid w:val="39E7589A"/>
    <w:rsid w:val="3B1F2B5C"/>
    <w:rsid w:val="3C060031"/>
    <w:rsid w:val="4B372272"/>
    <w:rsid w:val="56C3475A"/>
    <w:rsid w:val="57893893"/>
    <w:rsid w:val="584B2834"/>
    <w:rsid w:val="605A65C1"/>
    <w:rsid w:val="64343C09"/>
    <w:rsid w:val="647729F1"/>
    <w:rsid w:val="66B61240"/>
    <w:rsid w:val="6D125276"/>
    <w:rsid w:val="6E096679"/>
    <w:rsid w:val="70E62CA2"/>
    <w:rsid w:val="72D64281"/>
    <w:rsid w:val="7EE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0</Lines>
  <Paragraphs>0</Paragraphs>
  <TotalTime>5</TotalTime>
  <ScaleCrop>false</ScaleCrop>
  <LinksUpToDate>false</LinksUpToDate>
  <CharactersWithSpaces>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2024-05-06T03:16:00Z</dcterms:created>
  <dc:creator>张华明</dc:creator>
  <cp:lastModifiedBy>HUAWEI</cp:lastModifiedBy>
  <cp:lastPrinted>2024-05-07T00:58:00Z</cp:lastPrinted>
  <dcterms:modified xsi:type="dcterms:W3CDTF">2024-05-08T08:32:37Z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36D2917EFC804687B3B2AAB1AA5B8561_11</vt:lpwstr>
  </property>
</Properties>
</file>